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9"/>
        <w:jc w:val="center"/>
        <w:spacing w:lineRule="auto" w:line="240" w:after="0"/>
        <w:rPr>
          <w:rFonts w:ascii="Times New Roman" w:hAnsi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/>
          <w:sz w:val="28"/>
          <w:szCs w:val="28"/>
          <w:highlight w:val="white"/>
        </w:rPr>
        <w:t xml:space="preserve">Аналитическая записка</w:t>
      </w:r>
      <w:r>
        <w:rPr>
          <w:highlight w:val="white"/>
        </w:rPr>
      </w:r>
      <w:r/>
    </w:p>
    <w:p>
      <w:pPr>
        <w:pStyle w:val="599"/>
        <w:jc w:val="center"/>
        <w:spacing w:lineRule="auto" w:line="240" w:after="0"/>
        <w:rPr>
          <w:rFonts w:ascii="Times New Roman" w:hAnsi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/>
          <w:sz w:val="28"/>
          <w:szCs w:val="28"/>
          <w:highlight w:val="white"/>
        </w:rPr>
        <w:t xml:space="preserve">о реализации Государственной программы Костромской области «Гармонизация межэтнических, межконфессиональных отношений и этнокультурное развитие народов в Костромской области» </w:t>
      </w:r>
      <w:r>
        <w:rPr>
          <w:highlight w:val="white"/>
        </w:rPr>
      </w:r>
      <w:r/>
    </w:p>
    <w:p>
      <w:pPr>
        <w:pStyle w:val="599"/>
        <w:jc w:val="center"/>
        <w:spacing w:lineRule="auto" w:line="240" w:after="0"/>
        <w:rPr>
          <w:rFonts w:ascii="Times New Roman" w:hAnsi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Segoe UI" w:hAnsi="Segoe UI" w:cs="Segoe UI" w:eastAsia="Segoe UI"/>
          <w:color w:val="000000"/>
          <w:spacing w:val="-4"/>
          <w:sz w:val="23"/>
          <w:szCs w:val="28"/>
          <w:highlight w:val="white"/>
        </w:rPr>
        <w:outlineLvl w:val="1"/>
      </w:pPr>
      <w:r>
        <w:rPr>
          <w:rFonts w:ascii="Times New Roman" w:hAnsi="Times New Roman"/>
          <w:sz w:val="28"/>
          <w:szCs w:val="28"/>
          <w:highlight w:val="white"/>
        </w:rPr>
        <w:t xml:space="preserve">Государственная программа Костромской области «Гармонизация межэтнических, межконфессиональных отношений и этнокультурное развитие народов в Костромской области» (далее – </w:t>
      </w:r>
      <w:r>
        <w:rPr>
          <w:rFonts w:ascii="Times New Roman" w:hAnsi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/>
          <w:sz w:val="28"/>
          <w:szCs w:val="28"/>
          <w:highlight w:val="white"/>
        </w:rPr>
        <w:t xml:space="preserve">осударственная </w:t>
      </w:r>
      <w:r>
        <w:rPr>
          <w:rFonts w:ascii="Times New Roman" w:hAnsi="Times New Roman"/>
          <w:sz w:val="28"/>
          <w:szCs w:val="28"/>
          <w:highlight w:val="white"/>
        </w:rPr>
        <w:t xml:space="preserve">программа)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утверждена постановлением администрации Костромской области 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/>
          <w:sz w:val="28"/>
          <w:szCs w:val="28"/>
          <w:highlight w:val="white"/>
        </w:rPr>
        <w:t xml:space="preserve">0</w:t>
      </w:r>
      <w:r>
        <w:rPr>
          <w:rFonts w:ascii="Times New Roman" w:hAnsi="Times New Roman"/>
          <w:sz w:val="28"/>
          <w:szCs w:val="28"/>
          <w:highlight w:val="white"/>
        </w:rPr>
        <w:t xml:space="preserve">1.08.</w:t>
      </w:r>
      <w:r>
        <w:rPr>
          <w:rFonts w:ascii="Times New Roman" w:hAnsi="Times New Roman"/>
          <w:sz w:val="28"/>
          <w:szCs w:val="28"/>
          <w:highlight w:val="white"/>
        </w:rPr>
        <w:t xml:space="preserve">2022 № 370-а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sz w:val="28"/>
          <w:szCs w:val="28"/>
          <w:highlight w:val="white"/>
        </w:rPr>
        <w:outlineLvl w:val="1"/>
      </w:pPr>
      <w:r>
        <w:rPr>
          <w:rFonts w:ascii="Segoe UI" w:hAnsi="Segoe UI" w:cs="Segoe UI" w:eastAsia="Segoe UI"/>
          <w:color w:val="000000"/>
          <w:spacing w:val="-4"/>
          <w:sz w:val="23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Государственная программа включает в себя две подпрограммы:</w:t>
      </w:r>
      <w:r>
        <w:rPr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г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армонизация межэтнических, межконфессиональных отношений в Костромской области;</w:t>
      </w:r>
      <w:r>
        <w:rPr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- этнокультурное развитие народов в Костромской области.</w:t>
      </w:r>
      <w:r>
        <w:rPr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Целью программы является укрепление единства российской нации на территории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Костромской области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</w:t>
      </w:r>
      <w:r>
        <w:rPr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z w:val="28"/>
          <w:szCs w:val="28"/>
          <w:highlight w:val="white"/>
        </w:rPr>
        <w:outlineLvl w:val="1"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На реализацию г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осударственной программы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3 год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у направлено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                 3 050,0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тыс. руб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/>
          <w:sz w:val="28"/>
          <w:szCs w:val="28"/>
          <w:highlight w:val="white"/>
        </w:rPr>
        <w:t xml:space="preserve">Мероп</w:t>
      </w:r>
      <w:r>
        <w:rPr>
          <w:rFonts w:ascii="Times New Roman" w:hAnsi="Times New Roman"/>
          <w:sz w:val="28"/>
          <w:szCs w:val="28"/>
          <w:highlight w:val="white"/>
        </w:rPr>
        <w:t xml:space="preserve">риятия, на которые предусмотрено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финансирование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реализованы в 20</w:t>
      </w:r>
      <w:r>
        <w:rPr>
          <w:rFonts w:ascii="Times New Roman" w:hAnsi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/>
          <w:sz w:val="28"/>
          <w:szCs w:val="28"/>
          <w:highlight w:val="white"/>
        </w:rPr>
        <w:t xml:space="preserve">3 году</w:t>
      </w:r>
      <w:r>
        <w:rPr>
          <w:rFonts w:ascii="Times New Roman" w:hAnsi="Times New Roman"/>
          <w:sz w:val="28"/>
          <w:szCs w:val="28"/>
          <w:highlight w:val="white"/>
        </w:rPr>
        <w:t xml:space="preserve"> в полном объеме.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Ежегодно управлением по вопросам внутренней политики администрации Костромской области проводятся конкурс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ы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е отборы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социально ориентированных некоммерческих организаций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Костромской области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на право получения субсидий из областного бюджета на реализацию социально значимых проектов и программ, а также на проведение мероприятий по гармонизации межэтнических, межконфессиональных отношений и этнокультурному развитию народов в Костромской области.</w:t>
      </w:r>
      <w:r>
        <w:rPr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3 год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 рамках Г</w:t>
      </w:r>
      <w:r>
        <w:rPr>
          <w:rFonts w:ascii="Times New Roman" w:hAnsi="Times New Roman"/>
          <w:sz w:val="28"/>
          <w:szCs w:val="28"/>
          <w:highlight w:val="white"/>
        </w:rPr>
        <w:t xml:space="preserve">осударственной программы </w:t>
      </w:r>
      <w:r>
        <w:rPr>
          <w:rFonts w:ascii="Times New Roman" w:hAnsi="Times New Roman"/>
          <w:sz w:val="28"/>
          <w:szCs w:val="28"/>
          <w:highlight w:val="white"/>
        </w:rPr>
        <w:t xml:space="preserve">финансовая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поддерж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ка оказана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1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4 некоммерчески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организаци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ям</w:t>
      </w:r>
      <w:r>
        <w:rPr>
          <w:rFonts w:ascii="Times New Roman" w:hAnsi="Times New Roman"/>
          <w:sz w:val="28"/>
          <w:szCs w:val="28"/>
          <w:highlight w:val="white"/>
        </w:rPr>
        <w:t xml:space="preserve"> на реализацию мероприятий, направленных на укрепление единства российской нации и этнокультурное развитие народов Костромской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</w:rPr>
        <w:t xml:space="preserve">общ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/>
          <w:sz w:val="28"/>
          <w:szCs w:val="28"/>
          <w:highlight w:val="white"/>
        </w:rPr>
        <w:t xml:space="preserve"> объем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2 млн.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руб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599"/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i w:val="false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i w:val="false"/>
          <w:sz w:val="28"/>
          <w:szCs w:val="28"/>
          <w:highlight w:val="white"/>
        </w:rPr>
        <w:t xml:space="preserve">В рамках </w:t>
      </w:r>
      <w:r>
        <w:rPr>
          <w:rFonts w:ascii="Times New Roman" w:hAnsi="Times New Roman" w:cs="Times New Roman" w:eastAsia="Times New Roman"/>
          <w:i w:val="false"/>
          <w:sz w:val="28"/>
          <w:szCs w:val="28"/>
          <w:highlight w:val="white"/>
        </w:rPr>
        <w:t xml:space="preserve">реализации мероприятия «Развитие этнокультурной инфраструктуры, в том числе домов дружбы, центров национальной культуры, иных государственных и муниципальных учреждений, деятельность которых направлена на решение задач государственной национальной политики</w:t>
      </w:r>
      <w:r>
        <w:rPr>
          <w:rFonts w:ascii="Times New Roman" w:hAnsi="Times New Roman" w:cs="Times New Roman" w:eastAsia="Times New Roman"/>
          <w:i w:val="false"/>
          <w:sz w:val="28"/>
          <w:szCs w:val="28"/>
          <w:highlight w:val="white"/>
        </w:rPr>
        <w:t xml:space="preserve"> Российской Федерации, в том числе предоставление субсидий из областного бюджета социально ориентированным некоммерческим организациям, оказывающим услуги по развитию этнокультурной инфраструктуры, в том числе домов дружбы, в Костромской области» средства </w:t>
      </w:r>
      <w:r>
        <w:rPr>
          <w:rFonts w:ascii="Times New Roman" w:hAnsi="Times New Roman" w:cs="Times New Roman" w:eastAsia="Times New Roman"/>
          <w:i w:val="false"/>
          <w:sz w:val="28"/>
          <w:szCs w:val="28"/>
          <w:highlight w:val="white"/>
        </w:rPr>
        <w:t xml:space="preserve">в размере 700 тыс. руб. </w:t>
      </w:r>
      <w:r>
        <w:rPr>
          <w:rFonts w:ascii="Times New Roman" w:hAnsi="Times New Roman" w:cs="Times New Roman" w:eastAsia="Times New Roman"/>
          <w:i w:val="false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i w:val="false"/>
          <w:sz w:val="28"/>
          <w:szCs w:val="28"/>
          <w:highlight w:val="white"/>
        </w:rPr>
        <w:t xml:space="preserve">направлены на осуществление текущей деятельности Ко</w:t>
      </w:r>
      <w:r>
        <w:rPr>
          <w:rFonts w:ascii="Times New Roman" w:hAnsi="Times New Roman" w:cs="Times New Roman" w:eastAsia="Times New Roman"/>
          <w:i w:val="false"/>
          <w:sz w:val="28"/>
          <w:szCs w:val="28"/>
          <w:highlight w:val="white"/>
        </w:rPr>
        <w:t xml:space="preserve">стромского Дома национальностей</w:t>
      </w:r>
      <w:r>
        <w:rPr>
          <w:rFonts w:ascii="Times New Roman" w:hAnsi="Times New Roman" w:cs="Times New Roman" w:eastAsia="Times New Roman"/>
          <w:i w:val="false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 w:eastAsia="Times New Roman"/>
          <w:i w:val="false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pStyle w:val="599"/>
        <w:ind w:firstLine="708"/>
        <w:jc w:val="both"/>
        <w:spacing w:lineRule="auto" w:line="240"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 Костромском Доме национальностей на постоянной основе </w:t>
      </w:r>
      <w:r>
        <w:rPr>
          <w:rFonts w:ascii="Times New Roman" w:hAnsi="Times New Roman"/>
          <w:sz w:val="28"/>
          <w:szCs w:val="28"/>
          <w:highlight w:val="white"/>
        </w:rPr>
        <w:t xml:space="preserve">функционируют</w:t>
      </w:r>
      <w:r>
        <w:rPr>
          <w:rFonts w:ascii="Times New Roman" w:hAnsi="Times New Roman"/>
          <w:sz w:val="28"/>
          <w:szCs w:val="28"/>
          <w:highlight w:val="white"/>
        </w:rPr>
        <w:t xml:space="preserve">: </w:t>
      </w:r>
      <w:r>
        <w:rPr>
          <w:highlight w:val="white"/>
        </w:rPr>
      </w:r>
      <w:r/>
    </w:p>
    <w:p>
      <w:pPr>
        <w:pStyle w:val="599"/>
        <w:ind w:firstLine="708"/>
        <w:jc w:val="both"/>
        <w:spacing w:lineRule="auto" w:line="240" w:after="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музей национальных традиций;</w:t>
      </w:r>
      <w:r>
        <w:rPr>
          <w:highlight w:val="white"/>
        </w:rPr>
      </w:r>
      <w:r/>
    </w:p>
    <w:p>
      <w:pPr>
        <w:pStyle w:val="599"/>
        <w:ind w:firstLine="708"/>
        <w:jc w:val="both"/>
        <w:spacing w:lineRule="auto" w:line="240" w:after="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воскресная школа по изучению </w:t>
      </w:r>
      <w:r>
        <w:rPr>
          <w:rFonts w:ascii="Times New Roman" w:hAnsi="Times New Roman"/>
          <w:sz w:val="28"/>
          <w:szCs w:val="28"/>
          <w:highlight w:val="white"/>
        </w:rPr>
        <w:t xml:space="preserve">языков народов Костромской области </w:t>
      </w:r>
      <w:r>
        <w:rPr>
          <w:rFonts w:ascii="Times New Roman" w:hAnsi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/>
          <w:sz w:val="28"/>
          <w:szCs w:val="28"/>
          <w:highlight w:val="white"/>
        </w:rPr>
        <w:t xml:space="preserve">азербайджанского, армянского, немецкого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);</w:t>
      </w:r>
      <w:r>
        <w:rPr>
          <w:highlight w:val="white"/>
        </w:rPr>
      </w:r>
      <w:r/>
    </w:p>
    <w:p>
      <w:pPr>
        <w:pStyle w:val="599"/>
        <w:ind w:firstLine="708"/>
        <w:jc w:val="both"/>
        <w:spacing w:lineRule="auto" w:line="240" w:after="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клуб настольных игр народов, проживающих на территории Костромской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pStyle w:val="599"/>
        <w:ind w:firstLine="708"/>
        <w:jc w:val="both"/>
        <w:spacing w:lineRule="auto" w:line="240" w:after="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передвижная выставка национального костюма.</w:t>
      </w:r>
      <w:r>
        <w:rPr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течение 2023 года Костромским Домом национальностей совместно с национальн</w:t>
      </w:r>
      <w:r>
        <w:rPr>
          <w:rFonts w:ascii="Times New Roman" w:hAnsi="Times New Roman"/>
          <w:sz w:val="28"/>
          <w:szCs w:val="28"/>
          <w:highlight w:val="white"/>
        </w:rPr>
        <w:t xml:space="preserve">ыми общественными объединениями</w:t>
      </w:r>
      <w:r>
        <w:rPr>
          <w:rFonts w:ascii="Times New Roman" w:hAnsi="Times New Roman"/>
          <w:sz w:val="28"/>
          <w:szCs w:val="28"/>
          <w:highlight w:val="white"/>
        </w:rPr>
        <w:t xml:space="preserve"> при координации администрации Костромской области </w:t>
      </w:r>
      <w:r>
        <w:rPr>
          <w:rFonts w:ascii="Times New Roman" w:hAnsi="Times New Roman"/>
          <w:sz w:val="28"/>
          <w:szCs w:val="28"/>
          <w:highlight w:val="white"/>
        </w:rPr>
        <w:t xml:space="preserve">проведены мероприятия, направленные на</w:t>
      </w:r>
      <w:r>
        <w:rPr>
          <w:rFonts w:ascii="Times New Roman" w:hAnsi="Times New Roman"/>
          <w:sz w:val="28"/>
          <w:szCs w:val="28"/>
          <w:highlight w:val="white"/>
        </w:rPr>
        <w:t xml:space="preserve"> укрепление единства российской нации и</w:t>
      </w:r>
      <w:r>
        <w:rPr>
          <w:rFonts w:ascii="Times New Roman" w:hAnsi="Times New Roman"/>
          <w:sz w:val="28"/>
          <w:szCs w:val="28"/>
          <w:highlight w:val="white"/>
        </w:rPr>
        <w:t xml:space="preserve"> этнокультурное развитие народов Костромской области:</w:t>
      </w:r>
      <w:r>
        <w:rPr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фестиваль национальных культур, посвященный Дню государственного флага;</w:t>
      </w:r>
      <w:r>
        <w:rPr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фестиваль национальных культур «Киш-миш»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;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фестиваль «Театральная этновесна»</w:t>
      </w:r>
      <w:r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  <w:highlight w:val="white"/>
        </w:rPr>
        <w:t xml:space="preserve">; </w:t>
      </w:r>
      <w:r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Межмуниципальный фестиваль национальных культур «Истоки дружбы»;</w:t>
      </w:r>
      <w:r>
        <w:rPr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мероприятия, посвященные государственным праздникам, Дню России, Дню государственного флага, Дню народного единства,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национальные праздники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азербайджански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й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«Новруз»;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татарский Сабантуй;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армянский Вардавар;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r>
        <w:rPr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круглый стол на тему «Международное сотрудничество государств в сфере противодействия экстремизму и терроризму».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Международная просветительская акция «Большой этнографический диктант»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,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ru-RU"/>
        </w:rPr>
        <w:t xml:space="preserve">съемка видеоролика, посвященного Дню памяти и скорби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;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  <w:highlight w:val="white"/>
        </w:rPr>
        <w:t xml:space="preserve">мероприятие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«Азербайджанские мотивы в творчестве Н.Н. Купреянова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  <w:highlight w:val="white"/>
          <w:lang w:val="en-US"/>
        </w:rPr>
        <w:t xml:space="preserve">;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  <w:highlight w:val="white"/>
        </w:rPr>
        <w:t xml:space="preserve">выставки в музее Костромского дома национальностей</w:t>
      </w:r>
      <w:r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  <w:highlight w:val="white"/>
          <w:lang w:val="en-US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выставка «Кружево Костромской губернии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  <w:highlight w:val="white"/>
          <w:lang w:val="en-US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  <w:highlight w:val="white"/>
          <w:lang w:val="ru-RU"/>
        </w:rPr>
        <w:t xml:space="preserve"> «Знакомство с татарской культурой»</w:t>
      </w:r>
      <w:r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  <w:highlight w:val="white"/>
          <w:lang w:val="en-US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  <w:highlight w:val="white"/>
          <w:lang w:val="ru-RU"/>
        </w:rPr>
        <w:t xml:space="preserve"> «Костюм азербайджанского народа» и др.</w:t>
      </w:r>
      <w:r>
        <w:rPr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  <w:highlight w:val="white"/>
          <w:lang w:val="ru-RU"/>
        </w:rPr>
        <w:t xml:space="preserve">Также на постоянной основе проводятся иные мероприятия различного формата (мастер-классы, семинары, тематические вечера и творческие встречи).</w:t>
      </w:r>
      <w:r>
        <w:rPr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/>
          <w:spacing w:val="-4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В 2023 году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было проведено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62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мероприятия 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 xml:space="preserve">по гармонизации межнациональных, межконфессиональных отношений в Костромской области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 xml:space="preserve">, в которых приняли участие 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 xml:space="preserve">более 130 400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 xml:space="preserve"> человек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left="0" w:right="0" w:firstLine="708"/>
        <w:jc w:val="both"/>
        <w:spacing w:after="0" w:before="0"/>
        <w:shd w:val="clear" w:color="auto" w:fill="FFFFFF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  <w:highlight w:val="white"/>
        </w:rPr>
        <w:t xml:space="preserve">В рамках мероприятия «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  <w:highlight w:val="white"/>
        </w:rPr>
        <w:t xml:space="preserve">Развитие российского казачества на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  <w:highlight w:val="white"/>
        </w:rPr>
        <w:t xml:space="preserve"> территории Костромской области» с целью 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  <w:highlight w:val="white"/>
        </w:rPr>
        <w:t xml:space="preserve">усилени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  <w:highlight w:val="white"/>
        </w:rPr>
        <w:t xml:space="preserve"> роли российского казачества сохранени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  <w:highlight w:val="white"/>
        </w:rPr>
        <w:t xml:space="preserve"> традиционной казачьей культуры Станичному казачьему обществу «Станица Красносельская» Восточного окружного казачьего общества войскового казачьего общества «Центральное казачье войско»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  <w:highlight w:val="white"/>
        </w:rPr>
        <w:t xml:space="preserve"> (далее - Станичное казачье общество) в 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  <w:highlight w:val="white"/>
        </w:rPr>
        <w:t xml:space="preserve">202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  <w:highlight w:val="white"/>
        </w:rPr>
        <w:t xml:space="preserve">3 год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  <w:highlight w:val="white"/>
        </w:rPr>
        <w:t xml:space="preserve">у была предоставлена субсидия в размере 350,00 тыс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  <w:highlight w:val="white"/>
        </w:rPr>
        <w:t xml:space="preserve"> рублей 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  <w:highlight w:val="white"/>
        </w:rPr>
        <w:t xml:space="preserve">на проведение мероприятий по развитию российского казачества на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  <w:highlight w:val="white"/>
        </w:rPr>
        <w:t xml:space="preserve"> территории Костромской области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 w:eastAsia="Times New Roman"/>
          <w:i w:val="false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Указанные средства направлены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на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проведение мероприятий по развитию российского казачества, военно-патриотических, военно-спортивных мероприятий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фестиваля-турнира «Казачий сполох», Дня российского казачества, турнира по лазерному бою, турниров по спортивному ориентиров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анию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ru-RU"/>
        </w:rPr>
        <w:t xml:space="preserve">, </w:t>
      </w:r>
      <w:r>
        <w:rPr>
          <w:sz w:val="28"/>
          <w:highlight w:val="white"/>
        </w:rPr>
        <w:t xml:space="preserve">соревнований «Стрелковое многоборье» и др.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i w:val="false"/>
          <w:sz w:val="28"/>
          <w:highlight w:val="white"/>
        </w:rPr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  <w:highlight w:val="white"/>
        </w:rPr>
        <w:t xml:space="preserve">В 2023 году Станичным казачьи обществом проведено 30 мероприятий по развитию российского казачества на территории Костромской области. В мероприятиях принимали участие представители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  <w:highlight w:val="white"/>
        </w:rPr>
        <w:t xml:space="preserve"> казачьих обществ, воспитанники военно-патриотических клубов, учащиеся казачьих классов. В рамках проведения военно-полевых сборов с воспитанниками казачьих клубов проведены занятия по практической стрельбе, тактической подготовке, ведению боевых действий.</w:t>
      </w:r>
      <w:r>
        <w:rPr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Результаты проведенн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ых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в 20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3 году социологическ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их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исследовани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показали, что доля граждан, положительно оценивающих состояние межнациональных отношений, в общем количестве граждан Костромской области составляет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88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%, уровень толерантного отношения к представителям другой национальности  - 94%, уровень этнокультурного развития народов в Костромской области - 94%.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Анализ полученных данных позволяет охарактеризовать обстановку, сложившуюся на территории региона в отношениях между представителями разных национальностей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как стабильную и бесконфликтную.</w:t>
      </w:r>
      <w:r>
        <w:rPr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По итогам проведенного анализа Государственн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ая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программ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Костромской области «Гармонизация межэтнических, межконфессиональных отношений и этнокультурное развитие народов в Костромской области»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признана высокоэффективной.</w:t>
      </w:r>
      <w:r>
        <w:rPr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highlight w:val="white"/>
        </w:rPr>
      </w:pPr>
      <w:r>
        <w:rPr>
          <w:vanish/>
          <w:highlight w:val="white"/>
        </w:rPr>
      </w:r>
      <w:r>
        <w:rPr>
          <w:highlight w:val="white"/>
        </w:rPr>
      </w:r>
      <w:r/>
    </w:p>
    <w:p>
      <w:pPr>
        <w:pStyle w:val="599"/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i w:val="false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i w:val="false"/>
          <w:sz w:val="28"/>
          <w:szCs w:val="28"/>
          <w:highlight w:val="white"/>
        </w:rPr>
      </w:r>
      <w:r>
        <w:rPr>
          <w:highlight w:val="white"/>
        </w:rPr>
      </w:r>
      <w:r/>
    </w:p>
    <w:sectPr>
      <w:headerReference w:type="default" r:id="rId8"/>
      <w:headerReference w:type="even" r:id="rId9"/>
      <w:footnotePr/>
      <w:type w:val="nextPage"/>
      <w:pgSz w:w="11906" w:h="16838" w:orient="portrait"/>
      <w:pgMar w:top="709" w:right="849" w:bottom="568" w:left="1418" w:header="709" w:footer="709" w:gutter="0"/>
      <w:pgNumType w:start="37"/>
      <w:cols w:num="1" w:sep="0" w:space="708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Wingdings">
    <w:panose1 w:val="05000000000000000000"/>
  </w:font>
  <w:font w:name="Symbol">
    <w:panose1 w:val="05050102010706020507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Cambria">
    <w:panose1 w:val="0204050305040603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1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11"/>
      <w:rPr>
        <w:rStyle w:val="613"/>
      </w:rPr>
      <w:framePr w:wrap="around" w:vAnchor="text" w:hAnchor="margin" w:xAlign="center" w:y="1"/>
    </w:pPr>
    <w:r>
      <w:rPr>
        <w:rStyle w:val="613"/>
      </w:rPr>
      <w:fldChar w:fldCharType="begin"/>
    </w:r>
    <w:r>
      <w:rPr>
        <w:rStyle w:val="613"/>
      </w:rPr>
      <w:instrText xml:space="preserve">PAGE  </w:instrText>
    </w:r>
    <w:r>
      <w:rPr>
        <w:rStyle w:val="613"/>
      </w:rPr>
      <w:fldChar w:fldCharType="end"/>
    </w:r>
    <w:r>
      <w:rPr>
        <w:rStyle w:val="613"/>
      </w:rPr>
    </w:r>
    <w:r/>
  </w:p>
  <w:p>
    <w:pPr>
      <w:pStyle w:val="6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9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59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59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59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59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59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59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59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599"/>
        <w:ind w:left="6480" w:hanging="180"/>
      </w:pPr>
    </w:lvl>
  </w:abstractNum>
  <w:abstractNum w:abstractNumId="1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pStyle w:val="599"/>
        <w:ind w:left="-349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599"/>
        <w:ind w:left="371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599"/>
        <w:ind w:left="109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599"/>
        <w:ind w:left="181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599"/>
        <w:ind w:left="2531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599"/>
        <w:ind w:left="325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599"/>
        <w:ind w:left="397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599"/>
        <w:ind w:left="4691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599"/>
        <w:ind w:left="5411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99"/>
        <w:ind w:left="540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pStyle w:val="599"/>
        <w:ind w:left="540" w:hanging="54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599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599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599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599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599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599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599"/>
        <w:ind w:left="1800" w:hanging="180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99"/>
        <w:ind w:left="10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599"/>
        <w:ind w:left="17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599"/>
        <w:ind w:left="249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599"/>
        <w:ind w:left="32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599"/>
        <w:ind w:left="39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599"/>
        <w:ind w:left="465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599"/>
        <w:ind w:left="53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599"/>
        <w:ind w:left="60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599"/>
        <w:ind w:left="6810" w:hanging="180"/>
      </w:pPr>
    </w:lvl>
  </w:abstractNum>
  <w:abstractNum w:abstractNumId="4">
    <w:multiLevelType w:val="hybridMultilevel"/>
    <w:lvl w:ilvl="0">
      <w:start w:val="10"/>
      <w:numFmt w:val="bullet"/>
      <w:isLgl w:val="false"/>
      <w:suff w:val="tab"/>
      <w:lvlText w:val=""/>
      <w:lvlJc w:val="left"/>
      <w:pPr>
        <w:pStyle w:val="599"/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599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599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599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599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599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599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599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599"/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pStyle w:val="599"/>
        <w:ind w:left="420" w:hanging="360"/>
        <w:tabs>
          <w:tab w:val="num" w:pos="420" w:leader="none"/>
        </w:tabs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599"/>
        <w:ind w:left="1140" w:hanging="360"/>
        <w:tabs>
          <w:tab w:val="num" w:pos="11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599"/>
        <w:ind w:left="1860" w:hanging="360"/>
        <w:tabs>
          <w:tab w:val="num" w:pos="18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599"/>
        <w:ind w:left="2580" w:hanging="360"/>
        <w:tabs>
          <w:tab w:val="num" w:pos="25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599"/>
        <w:ind w:left="3300" w:hanging="360"/>
        <w:tabs>
          <w:tab w:val="num" w:pos="33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599"/>
        <w:ind w:left="4020" w:hanging="360"/>
        <w:tabs>
          <w:tab w:val="num" w:pos="40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599"/>
        <w:ind w:left="4740" w:hanging="360"/>
        <w:tabs>
          <w:tab w:val="num" w:pos="47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599"/>
        <w:ind w:left="5460" w:hanging="360"/>
        <w:tabs>
          <w:tab w:val="num" w:pos="54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599"/>
        <w:ind w:left="6180" w:hanging="360"/>
        <w:tabs>
          <w:tab w:val="num" w:pos="61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99"/>
        <w:ind w:left="540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pStyle w:val="599"/>
        <w:ind w:left="540" w:hanging="54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599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599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599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599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599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599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599"/>
        <w:ind w:left="1800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99"/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599"/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599"/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599"/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599"/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599"/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599"/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599"/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599"/>
        <w:ind w:left="7020" w:hanging="180"/>
        <w:tabs>
          <w:tab w:val="num" w:pos="702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99"/>
        <w:ind w:left="1365" w:hanging="825"/>
        <w:tabs>
          <w:tab w:val="num" w:pos="13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599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599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599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599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599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599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599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599"/>
        <w:ind w:left="6660" w:hanging="180"/>
        <w:tabs>
          <w:tab w:val="num" w:pos="666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599"/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599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599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599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599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599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599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599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599"/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599"/>
        <w:ind w:left="1110" w:hanging="360"/>
        <w:tabs>
          <w:tab w:val="num" w:pos="111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599"/>
        <w:ind w:left="1830" w:hanging="360"/>
        <w:tabs>
          <w:tab w:val="num" w:pos="183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599"/>
        <w:ind w:left="2550" w:hanging="180"/>
        <w:tabs>
          <w:tab w:val="num" w:pos="255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599"/>
        <w:ind w:left="3270" w:hanging="360"/>
        <w:tabs>
          <w:tab w:val="num" w:pos="327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599"/>
        <w:ind w:left="3990" w:hanging="360"/>
        <w:tabs>
          <w:tab w:val="num" w:pos="399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599"/>
        <w:ind w:left="4710" w:hanging="180"/>
        <w:tabs>
          <w:tab w:val="num" w:pos="471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599"/>
        <w:ind w:left="5430" w:hanging="360"/>
        <w:tabs>
          <w:tab w:val="num" w:pos="543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599"/>
        <w:ind w:left="6150" w:hanging="360"/>
        <w:tabs>
          <w:tab w:val="num" w:pos="615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599"/>
        <w:ind w:left="6870" w:hanging="180"/>
        <w:tabs>
          <w:tab w:val="num" w:pos="687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99"/>
        <w:ind w:left="1350" w:hanging="81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599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599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599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599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599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599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599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599"/>
        <w:ind w:left="666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599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599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599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599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599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599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599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599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599"/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99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599"/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599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599"/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599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599"/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599"/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599"/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599"/>
        <w:ind w:left="2160" w:hanging="2160"/>
      </w:pPr>
    </w:lvl>
  </w:abstractNum>
  <w:abstractNum w:abstractNumId="14">
    <w:multiLevelType w:val="hybridMultilevel"/>
    <w:lvl w:ilvl="0">
      <w:start w:val="10"/>
      <w:numFmt w:val="bullet"/>
      <w:isLgl w:val="false"/>
      <w:suff w:val="tab"/>
      <w:lvlText w:val=""/>
      <w:lvlJc w:val="left"/>
      <w:pPr>
        <w:pStyle w:val="599"/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599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599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599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599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599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599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599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599"/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99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599"/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599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599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599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599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599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599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599"/>
        <w:ind w:left="1800" w:hanging="180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9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59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59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59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59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59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59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59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599"/>
        <w:ind w:left="6480" w:hanging="180"/>
      </w:pPr>
    </w:lvl>
  </w:abstractNum>
  <w:abstractNum w:abstractNumId="17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pStyle w:val="599"/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599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599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599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599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599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599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599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599"/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8"/>
  </w:num>
  <w:num w:numId="5">
    <w:abstractNumId w:val="11"/>
  </w:num>
  <w:num w:numId="6">
    <w:abstractNumId w:val="12"/>
  </w:num>
  <w:num w:numId="7">
    <w:abstractNumId w:val="9"/>
  </w:num>
  <w:num w:numId="8">
    <w:abstractNumId w:val="0"/>
  </w:num>
  <w:num w:numId="9">
    <w:abstractNumId w:val="2"/>
  </w:num>
  <w:num w:numId="10">
    <w:abstractNumId w:val="15"/>
  </w:num>
  <w:num w:numId="11">
    <w:abstractNumId w:val="6"/>
  </w:num>
  <w:num w:numId="12">
    <w:abstractNumId w:val="16"/>
  </w:num>
  <w:num w:numId="13">
    <w:abstractNumId w:val="13"/>
  </w:num>
  <w:num w:numId="14">
    <w:abstractNumId w:val="10"/>
  </w:num>
  <w:num w:numId="15">
    <w:abstractNumId w:val="3"/>
  </w:num>
  <w:num w:numId="16">
    <w:abstractNumId w:val="4"/>
  </w:num>
  <w:num w:numId="17">
    <w:abstractNumId w:val="14"/>
  </w:num>
  <w:num w:numId="18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26">
    <w:name w:val="Heading 1"/>
    <w:link w:val="42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27">
    <w:name w:val="Heading 1 Char"/>
    <w:link w:val="426"/>
    <w:uiPriority w:val="9"/>
    <w:rPr>
      <w:rFonts w:ascii="Arial" w:hAnsi="Arial" w:cs="Arial" w:eastAsia="Arial"/>
      <w:sz w:val="40"/>
      <w:szCs w:val="40"/>
    </w:rPr>
  </w:style>
  <w:style w:type="paragraph" w:styleId="428">
    <w:name w:val="Heading 2"/>
    <w:link w:val="42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29">
    <w:name w:val="Heading 2 Char"/>
    <w:link w:val="428"/>
    <w:uiPriority w:val="9"/>
    <w:rPr>
      <w:rFonts w:ascii="Arial" w:hAnsi="Arial" w:cs="Arial" w:eastAsia="Arial"/>
      <w:sz w:val="34"/>
    </w:rPr>
  </w:style>
  <w:style w:type="paragraph" w:styleId="430">
    <w:name w:val="Heading 3"/>
    <w:link w:val="43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31">
    <w:name w:val="Heading 3 Char"/>
    <w:link w:val="430"/>
    <w:uiPriority w:val="9"/>
    <w:rPr>
      <w:rFonts w:ascii="Arial" w:hAnsi="Arial" w:cs="Arial" w:eastAsia="Arial"/>
      <w:sz w:val="30"/>
      <w:szCs w:val="30"/>
    </w:rPr>
  </w:style>
  <w:style w:type="paragraph" w:styleId="432">
    <w:name w:val="Heading 4"/>
    <w:link w:val="43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33">
    <w:name w:val="Heading 4 Char"/>
    <w:link w:val="432"/>
    <w:uiPriority w:val="9"/>
    <w:rPr>
      <w:rFonts w:ascii="Arial" w:hAnsi="Arial" w:cs="Arial" w:eastAsia="Arial"/>
      <w:b/>
      <w:bCs/>
      <w:sz w:val="26"/>
      <w:szCs w:val="26"/>
    </w:rPr>
  </w:style>
  <w:style w:type="paragraph" w:styleId="434">
    <w:name w:val="Heading 5"/>
    <w:link w:val="43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35">
    <w:name w:val="Heading 5 Char"/>
    <w:link w:val="434"/>
    <w:uiPriority w:val="9"/>
    <w:rPr>
      <w:rFonts w:ascii="Arial" w:hAnsi="Arial" w:cs="Arial" w:eastAsia="Arial"/>
      <w:b/>
      <w:bCs/>
      <w:sz w:val="24"/>
      <w:szCs w:val="24"/>
    </w:rPr>
  </w:style>
  <w:style w:type="paragraph" w:styleId="436">
    <w:name w:val="Heading 6"/>
    <w:link w:val="43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37">
    <w:name w:val="Heading 6 Char"/>
    <w:link w:val="436"/>
    <w:uiPriority w:val="9"/>
    <w:rPr>
      <w:rFonts w:ascii="Arial" w:hAnsi="Arial" w:cs="Arial" w:eastAsia="Arial"/>
      <w:b/>
      <w:bCs/>
      <w:sz w:val="22"/>
      <w:szCs w:val="22"/>
    </w:rPr>
  </w:style>
  <w:style w:type="paragraph" w:styleId="438">
    <w:name w:val="Heading 7"/>
    <w:link w:val="43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39">
    <w:name w:val="Heading 7 Char"/>
    <w:link w:val="43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40">
    <w:name w:val="Heading 8"/>
    <w:link w:val="44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41">
    <w:name w:val="Heading 8 Char"/>
    <w:link w:val="440"/>
    <w:uiPriority w:val="9"/>
    <w:rPr>
      <w:rFonts w:ascii="Arial" w:hAnsi="Arial" w:cs="Arial" w:eastAsia="Arial"/>
      <w:i/>
      <w:iCs/>
      <w:sz w:val="22"/>
      <w:szCs w:val="22"/>
    </w:rPr>
  </w:style>
  <w:style w:type="paragraph" w:styleId="442">
    <w:name w:val="Heading 9"/>
    <w:link w:val="44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43">
    <w:name w:val="Heading 9 Char"/>
    <w:link w:val="442"/>
    <w:uiPriority w:val="9"/>
    <w:rPr>
      <w:rFonts w:ascii="Arial" w:hAnsi="Arial" w:cs="Arial" w:eastAsia="Arial"/>
      <w:i/>
      <w:iCs/>
      <w:sz w:val="21"/>
      <w:szCs w:val="21"/>
    </w:rPr>
  </w:style>
  <w:style w:type="paragraph" w:styleId="444">
    <w:name w:val="List Paragraph"/>
    <w:qFormat/>
    <w:uiPriority w:val="34"/>
    <w:pPr>
      <w:contextualSpacing w:val="true"/>
      <w:ind w:left="720"/>
    </w:pPr>
  </w:style>
  <w:style w:type="paragraph" w:styleId="445">
    <w:name w:val="No Spacing"/>
    <w:qFormat/>
    <w:uiPriority w:val="1"/>
    <w:pPr>
      <w:spacing w:lineRule="auto" w:line="240" w:after="0" w:before="0"/>
    </w:pPr>
  </w:style>
  <w:style w:type="paragraph" w:styleId="446">
    <w:name w:val="Title"/>
    <w:link w:val="44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47">
    <w:name w:val="Title Char"/>
    <w:link w:val="446"/>
    <w:uiPriority w:val="10"/>
    <w:rPr>
      <w:sz w:val="48"/>
      <w:szCs w:val="48"/>
    </w:rPr>
  </w:style>
  <w:style w:type="paragraph" w:styleId="448">
    <w:name w:val="Subtitle"/>
    <w:link w:val="449"/>
    <w:qFormat/>
    <w:uiPriority w:val="11"/>
    <w:rPr>
      <w:sz w:val="24"/>
      <w:szCs w:val="24"/>
    </w:rPr>
    <w:pPr>
      <w:spacing w:after="200" w:before="200"/>
    </w:pPr>
  </w:style>
  <w:style w:type="character" w:styleId="449">
    <w:name w:val="Subtitle Char"/>
    <w:link w:val="448"/>
    <w:uiPriority w:val="11"/>
    <w:rPr>
      <w:sz w:val="24"/>
      <w:szCs w:val="24"/>
    </w:rPr>
  </w:style>
  <w:style w:type="paragraph" w:styleId="450">
    <w:name w:val="Quote"/>
    <w:link w:val="451"/>
    <w:qFormat/>
    <w:uiPriority w:val="29"/>
    <w:rPr>
      <w:i/>
    </w:rPr>
    <w:pPr>
      <w:ind w:left="720" w:right="720"/>
    </w:pPr>
  </w:style>
  <w:style w:type="character" w:styleId="451">
    <w:name w:val="Quote Char"/>
    <w:link w:val="450"/>
    <w:uiPriority w:val="29"/>
    <w:rPr>
      <w:i/>
    </w:rPr>
  </w:style>
  <w:style w:type="paragraph" w:styleId="452">
    <w:name w:val="Intense Quote"/>
    <w:link w:val="453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53">
    <w:name w:val="Intense Quote Char"/>
    <w:link w:val="452"/>
    <w:uiPriority w:val="30"/>
    <w:rPr>
      <w:i/>
    </w:rPr>
  </w:style>
  <w:style w:type="paragraph" w:styleId="454">
    <w:name w:val="Header"/>
    <w:link w:val="45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55">
    <w:name w:val="Header Char"/>
    <w:link w:val="454"/>
    <w:uiPriority w:val="99"/>
  </w:style>
  <w:style w:type="paragraph" w:styleId="456">
    <w:name w:val="Footer"/>
    <w:link w:val="45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57">
    <w:name w:val="Footer Char"/>
    <w:link w:val="456"/>
    <w:uiPriority w:val="99"/>
  </w:style>
  <w:style w:type="paragraph" w:styleId="458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9">
    <w:name w:val="Caption Char"/>
    <w:basedOn w:val="458"/>
    <w:link w:val="456"/>
    <w:uiPriority w:val="99"/>
  </w:style>
  <w:style w:type="table" w:styleId="46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1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2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6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64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65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6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67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8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9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0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2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3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4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6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7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8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89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90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9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92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93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94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9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96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97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98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99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500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50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502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03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04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05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06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07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08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09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10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1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12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13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14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15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16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17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18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19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20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2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22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23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24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25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26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27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28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29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3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2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3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4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5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6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7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8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9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0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2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3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4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45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46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47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48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49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0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52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53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54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55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56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57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58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59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60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6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62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63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64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65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66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67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68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69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70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71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72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73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74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75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76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77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78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79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80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8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82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83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84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85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86">
    <w:name w:val="Hyperlink"/>
    <w:uiPriority w:val="99"/>
    <w:unhideWhenUsed/>
    <w:rPr>
      <w:color w:val="0000FF" w:themeColor="hyperlink"/>
      <w:u w:val="single"/>
    </w:rPr>
  </w:style>
  <w:style w:type="paragraph" w:styleId="587">
    <w:name w:val="footnote text"/>
    <w:link w:val="639"/>
    <w:uiPriority w:val="99"/>
    <w:semiHidden/>
    <w:unhideWhenUsed/>
    <w:rPr>
      <w:sz w:val="18"/>
    </w:rPr>
    <w:pPr>
      <w:spacing w:lineRule="auto" w:line="240" w:after="40"/>
    </w:pPr>
  </w:style>
  <w:style w:type="character" w:styleId="588">
    <w:name w:val="footnote reference"/>
    <w:uiPriority w:val="99"/>
    <w:unhideWhenUsed/>
    <w:rPr>
      <w:vertAlign w:val="superscript"/>
    </w:rPr>
  </w:style>
  <w:style w:type="paragraph" w:styleId="589">
    <w:name w:val="toc 1"/>
    <w:uiPriority w:val="39"/>
    <w:unhideWhenUsed/>
    <w:pPr>
      <w:ind w:left="0" w:right="0" w:firstLine="0"/>
      <w:spacing w:after="57"/>
    </w:pPr>
  </w:style>
  <w:style w:type="paragraph" w:styleId="590">
    <w:name w:val="toc 2"/>
    <w:uiPriority w:val="39"/>
    <w:unhideWhenUsed/>
    <w:pPr>
      <w:ind w:left="283" w:right="0" w:firstLine="0"/>
      <w:spacing w:after="57"/>
    </w:pPr>
  </w:style>
  <w:style w:type="paragraph" w:styleId="591">
    <w:name w:val="toc 3"/>
    <w:uiPriority w:val="39"/>
    <w:unhideWhenUsed/>
    <w:pPr>
      <w:ind w:left="567" w:right="0" w:firstLine="0"/>
      <w:spacing w:after="57"/>
    </w:pPr>
  </w:style>
  <w:style w:type="paragraph" w:styleId="592">
    <w:name w:val="toc 4"/>
    <w:uiPriority w:val="39"/>
    <w:unhideWhenUsed/>
    <w:pPr>
      <w:ind w:left="850" w:right="0" w:firstLine="0"/>
      <w:spacing w:after="57"/>
    </w:pPr>
  </w:style>
  <w:style w:type="paragraph" w:styleId="593">
    <w:name w:val="toc 5"/>
    <w:uiPriority w:val="39"/>
    <w:unhideWhenUsed/>
    <w:pPr>
      <w:ind w:left="1134" w:right="0" w:firstLine="0"/>
      <w:spacing w:after="57"/>
    </w:pPr>
  </w:style>
  <w:style w:type="paragraph" w:styleId="594">
    <w:name w:val="toc 6"/>
    <w:uiPriority w:val="39"/>
    <w:unhideWhenUsed/>
    <w:pPr>
      <w:ind w:left="1417" w:right="0" w:firstLine="0"/>
      <w:spacing w:after="57"/>
    </w:pPr>
  </w:style>
  <w:style w:type="paragraph" w:styleId="595">
    <w:name w:val="toc 7"/>
    <w:uiPriority w:val="39"/>
    <w:unhideWhenUsed/>
    <w:pPr>
      <w:ind w:left="1701" w:right="0" w:firstLine="0"/>
      <w:spacing w:after="57"/>
    </w:pPr>
  </w:style>
  <w:style w:type="paragraph" w:styleId="596">
    <w:name w:val="toc 8"/>
    <w:uiPriority w:val="39"/>
    <w:unhideWhenUsed/>
    <w:pPr>
      <w:ind w:left="1984" w:right="0" w:firstLine="0"/>
      <w:spacing w:after="57"/>
    </w:pPr>
  </w:style>
  <w:style w:type="paragraph" w:styleId="597">
    <w:name w:val="toc 9"/>
    <w:uiPriority w:val="39"/>
    <w:unhideWhenUsed/>
    <w:pPr>
      <w:ind w:left="2268" w:right="0" w:firstLine="0"/>
      <w:spacing w:after="57"/>
    </w:pPr>
  </w:style>
  <w:style w:type="paragraph" w:styleId="598">
    <w:name w:val="TOC Heading"/>
    <w:uiPriority w:val="39"/>
    <w:unhideWhenUsed/>
  </w:style>
  <w:style w:type="paragraph" w:styleId="599">
    <w:name w:val="Обычный"/>
    <w:next w:val="599"/>
    <w:link w:val="599"/>
    <w:rPr>
      <w:rFonts w:ascii="Calibri" w:hAnsi="Calibri" w:eastAsia="Calibri"/>
      <w:sz w:val="22"/>
      <w:szCs w:val="22"/>
      <w:lang w:val="ru-RU" w:bidi="ar-SA" w:eastAsia="en-US"/>
    </w:rPr>
    <w:pPr>
      <w:spacing w:lineRule="auto" w:line="276" w:after="200"/>
    </w:pPr>
  </w:style>
  <w:style w:type="paragraph" w:styleId="600">
    <w:name w:val="Заголовок 1"/>
    <w:basedOn w:val="599"/>
    <w:next w:val="599"/>
    <w:link w:val="605"/>
    <w:rPr>
      <w:rFonts w:ascii="Cambria" w:hAnsi="Cambria" w:eastAsia="Times New Roman"/>
      <w:b/>
      <w:bCs/>
      <w:sz w:val="32"/>
      <w:szCs w:val="32"/>
      <w:lang w:val="en-US" w:eastAsia="en-US"/>
    </w:rPr>
    <w:pPr>
      <w:jc w:val="center"/>
      <w:keepNext/>
      <w:spacing w:lineRule="auto" w:line="240" w:after="0"/>
      <w:outlineLvl w:val="0"/>
    </w:pPr>
  </w:style>
  <w:style w:type="paragraph" w:styleId="601">
    <w:name w:val="Заголовок 2"/>
    <w:basedOn w:val="599"/>
    <w:next w:val="599"/>
    <w:link w:val="606"/>
    <w:rPr>
      <w:rFonts w:ascii="Cambria" w:hAnsi="Cambria" w:eastAsia="Times New Roman"/>
      <w:b/>
      <w:bCs/>
      <w:i/>
      <w:iCs/>
      <w:sz w:val="28"/>
      <w:szCs w:val="28"/>
      <w:lang w:val="en-US" w:eastAsia="en-US"/>
    </w:rPr>
    <w:pPr>
      <w:jc w:val="center"/>
      <w:keepNext/>
      <w:spacing w:lineRule="auto" w:line="240" w:after="0"/>
      <w:outlineLvl w:val="1"/>
    </w:pPr>
  </w:style>
  <w:style w:type="character" w:styleId="602">
    <w:name w:val="Основной шрифт абзаца"/>
    <w:next w:val="602"/>
    <w:link w:val="599"/>
    <w:semiHidden/>
  </w:style>
  <w:style w:type="table" w:styleId="603">
    <w:name w:val="Обычная таблица"/>
    <w:next w:val="603"/>
    <w:link w:val="599"/>
    <w:semiHidden/>
    <w:tblPr/>
  </w:style>
  <w:style w:type="numbering" w:styleId="604">
    <w:name w:val="Нет списка"/>
    <w:next w:val="604"/>
    <w:link w:val="599"/>
    <w:semiHidden/>
  </w:style>
  <w:style w:type="character" w:styleId="605">
    <w:name w:val="Заголовок 1 Знак"/>
    <w:next w:val="605"/>
    <w:link w:val="600"/>
    <w:rPr>
      <w:rFonts w:ascii="Cambria" w:hAnsi="Cambria"/>
      <w:b/>
      <w:bCs/>
      <w:sz w:val="32"/>
      <w:szCs w:val="32"/>
      <w:lang w:val="en-US" w:eastAsia="en-US"/>
    </w:rPr>
  </w:style>
  <w:style w:type="character" w:styleId="606">
    <w:name w:val="Заголовок 2 Знак"/>
    <w:next w:val="606"/>
    <w:link w:val="601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607">
    <w:name w:val="ConsPlusNormal"/>
    <w:next w:val="607"/>
    <w:link w:val="599"/>
    <w:rPr>
      <w:rFonts w:ascii="Arial" w:hAnsi="Arial"/>
      <w:lang w:val="ru-RU" w:bidi="ar-SA" w:eastAsia="ru-RU"/>
    </w:rPr>
    <w:pPr>
      <w:ind w:firstLine="720"/>
      <w:widowControl w:val="off"/>
    </w:pPr>
  </w:style>
  <w:style w:type="paragraph" w:styleId="608">
    <w:name w:val="ConsPlusNonformat"/>
    <w:next w:val="608"/>
    <w:link w:val="599"/>
    <w:rPr>
      <w:rFonts w:ascii="Courier New" w:hAnsi="Courier New"/>
      <w:lang w:val="ru-RU" w:bidi="ar-SA" w:eastAsia="ru-RU"/>
    </w:rPr>
    <w:pPr>
      <w:widowControl w:val="off"/>
    </w:pPr>
  </w:style>
  <w:style w:type="paragraph" w:styleId="609">
    <w:name w:val="ConsPlusTitle"/>
    <w:next w:val="609"/>
    <w:link w:val="599"/>
    <w:rPr>
      <w:rFonts w:ascii="Arial" w:hAnsi="Arial"/>
      <w:b/>
      <w:bCs/>
      <w:lang w:val="ru-RU" w:bidi="ar-SA" w:eastAsia="ru-RU"/>
    </w:rPr>
    <w:pPr>
      <w:widowControl w:val="off"/>
    </w:pPr>
  </w:style>
  <w:style w:type="paragraph" w:styleId="610">
    <w:name w:val="Знак"/>
    <w:basedOn w:val="599"/>
    <w:next w:val="610"/>
    <w:link w:val="599"/>
    <w:rPr>
      <w:rFonts w:ascii="Verdana" w:hAnsi="Verdana" w:eastAsia="Times New Roman"/>
      <w:sz w:val="24"/>
      <w:szCs w:val="24"/>
      <w:lang w:val="en-US"/>
    </w:rPr>
    <w:pPr>
      <w:spacing w:lineRule="exact" w:line="240" w:after="160"/>
    </w:pPr>
  </w:style>
  <w:style w:type="paragraph" w:styleId="611">
    <w:name w:val="Верхний колонтитул"/>
    <w:basedOn w:val="599"/>
    <w:next w:val="611"/>
    <w:link w:val="612"/>
    <w:pPr>
      <w:tabs>
        <w:tab w:val="center" w:pos="4677" w:leader="none"/>
        <w:tab w:val="right" w:pos="9355" w:leader="none"/>
      </w:tabs>
    </w:pPr>
  </w:style>
  <w:style w:type="character" w:styleId="612">
    <w:name w:val="Верхний колонтитул Знак"/>
    <w:next w:val="612"/>
    <w:link w:val="611"/>
    <w:rPr>
      <w:rFonts w:ascii="Calibri" w:hAnsi="Calibri" w:eastAsia="Calibri"/>
      <w:sz w:val="22"/>
      <w:szCs w:val="22"/>
      <w:lang w:eastAsia="en-US"/>
    </w:rPr>
  </w:style>
  <w:style w:type="character" w:styleId="613">
    <w:name w:val="Номер страницы"/>
    <w:basedOn w:val="602"/>
    <w:next w:val="613"/>
    <w:link w:val="599"/>
  </w:style>
  <w:style w:type="paragraph" w:styleId="614">
    <w:name w:val="Нижний колонтитул"/>
    <w:basedOn w:val="599"/>
    <w:next w:val="614"/>
    <w:link w:val="615"/>
    <w:rPr>
      <w:lang w:val="en-US"/>
    </w:rPr>
    <w:pPr>
      <w:tabs>
        <w:tab w:val="center" w:pos="4677" w:leader="none"/>
        <w:tab w:val="right" w:pos="9355" w:leader="none"/>
      </w:tabs>
    </w:pPr>
  </w:style>
  <w:style w:type="character" w:styleId="615">
    <w:name w:val="Нижний колонтитул Знак"/>
    <w:next w:val="615"/>
    <w:link w:val="614"/>
    <w:rPr>
      <w:rFonts w:ascii="Calibri" w:hAnsi="Calibri" w:eastAsia="Calibri"/>
      <w:sz w:val="22"/>
      <w:szCs w:val="22"/>
      <w:lang w:eastAsia="en-US"/>
    </w:rPr>
  </w:style>
  <w:style w:type="table" w:styleId="616">
    <w:name w:val="Сетка таблицы"/>
    <w:basedOn w:val="603"/>
    <w:next w:val="616"/>
    <w:link w:val="599"/>
    <w:tblPr/>
  </w:style>
  <w:style w:type="paragraph" w:styleId="617">
    <w:name w:val="Текст выноски"/>
    <w:basedOn w:val="599"/>
    <w:next w:val="617"/>
    <w:link w:val="618"/>
    <w:rPr>
      <w:rFonts w:ascii="Tahoma" w:hAnsi="Tahoma"/>
      <w:sz w:val="16"/>
      <w:szCs w:val="16"/>
      <w:lang w:val="en-US"/>
    </w:rPr>
  </w:style>
  <w:style w:type="character" w:styleId="618">
    <w:name w:val="Текст выноски Знак"/>
    <w:next w:val="618"/>
    <w:link w:val="617"/>
    <w:rPr>
      <w:rFonts w:ascii="Tahoma" w:hAnsi="Tahoma" w:eastAsia="Calibri"/>
      <w:sz w:val="16"/>
      <w:szCs w:val="16"/>
      <w:lang w:eastAsia="en-US"/>
    </w:rPr>
  </w:style>
  <w:style w:type="paragraph" w:styleId="619">
    <w:name w:val="ConsNormal"/>
    <w:next w:val="619"/>
    <w:link w:val="599"/>
    <w:rPr>
      <w:rFonts w:ascii="Arial" w:hAnsi="Arial"/>
      <w:lang w:val="ru-RU" w:bidi="ar-SA" w:eastAsia="ru-RU"/>
    </w:rPr>
    <w:pPr>
      <w:ind w:right="19772" w:firstLine="720"/>
      <w:widowControl w:val="off"/>
    </w:pPr>
  </w:style>
  <w:style w:type="character" w:styleId="620">
    <w:name w:val="Цветовое выделение"/>
    <w:next w:val="620"/>
    <w:link w:val="599"/>
    <w:rPr>
      <w:b/>
      <w:color w:val="26282F"/>
      <w:sz w:val="26"/>
    </w:rPr>
  </w:style>
  <w:style w:type="character" w:styleId="621">
    <w:name w:val="Знак примечания"/>
    <w:next w:val="621"/>
    <w:link w:val="599"/>
    <w:rPr>
      <w:sz w:val="16"/>
      <w:szCs w:val="16"/>
    </w:rPr>
  </w:style>
  <w:style w:type="paragraph" w:styleId="622">
    <w:name w:val="Текст примечания"/>
    <w:basedOn w:val="599"/>
    <w:next w:val="622"/>
    <w:link w:val="623"/>
    <w:rPr>
      <w:sz w:val="20"/>
      <w:szCs w:val="20"/>
    </w:rPr>
  </w:style>
  <w:style w:type="character" w:styleId="623">
    <w:name w:val="Текст примечания Знак"/>
    <w:next w:val="623"/>
    <w:link w:val="622"/>
    <w:rPr>
      <w:rFonts w:ascii="Calibri" w:hAnsi="Calibri" w:eastAsia="Calibri"/>
      <w:lang w:eastAsia="en-US"/>
    </w:rPr>
  </w:style>
  <w:style w:type="paragraph" w:styleId="624">
    <w:name w:val="Тема примечания"/>
    <w:basedOn w:val="622"/>
    <w:next w:val="622"/>
    <w:link w:val="625"/>
    <w:rPr>
      <w:b/>
      <w:bCs/>
    </w:rPr>
  </w:style>
  <w:style w:type="character" w:styleId="625">
    <w:name w:val="Тема примечания Знак"/>
    <w:next w:val="625"/>
    <w:link w:val="624"/>
    <w:rPr>
      <w:rFonts w:ascii="Calibri" w:hAnsi="Calibri" w:eastAsia="Calibri"/>
      <w:b/>
      <w:bCs/>
      <w:lang w:eastAsia="en-US"/>
    </w:rPr>
  </w:style>
  <w:style w:type="paragraph" w:styleId="626">
    <w:name w:val="Без интервала"/>
    <w:next w:val="626"/>
    <w:link w:val="599"/>
    <w:rPr>
      <w:lang w:val="ru-RU" w:bidi="ar-SA" w:eastAsia="ru-RU"/>
    </w:rPr>
  </w:style>
  <w:style w:type="paragraph" w:styleId="627">
    <w:name w:val="Абзац списка"/>
    <w:basedOn w:val="599"/>
    <w:next w:val="627"/>
    <w:link w:val="599"/>
    <w:rPr>
      <w:rFonts w:ascii="Times New Roman" w:hAnsi="Times New Roman" w:eastAsia="Times New Roman"/>
      <w:sz w:val="20"/>
      <w:szCs w:val="20"/>
      <w:lang w:eastAsia="ru-RU"/>
    </w:rPr>
    <w:pPr>
      <w:contextualSpacing w:val="true"/>
      <w:ind w:left="720"/>
      <w:spacing w:lineRule="auto" w:line="240" w:after="0"/>
    </w:pPr>
  </w:style>
  <w:style w:type="paragraph" w:styleId="628">
    <w:name w:val="Схема документа"/>
    <w:basedOn w:val="599"/>
    <w:next w:val="628"/>
    <w:link w:val="599"/>
    <w:semiHidden/>
    <w:rPr>
      <w:rFonts w:ascii="Tahoma" w:hAnsi="Tahoma"/>
      <w:sz w:val="20"/>
      <w:szCs w:val="20"/>
    </w:rPr>
    <w:pPr>
      <w:shd w:val="clear" w:color="auto" w:fill="000080"/>
    </w:pPr>
  </w:style>
  <w:style w:type="paragraph" w:styleId="629">
    <w:name w:val="ConsNonformat"/>
    <w:next w:val="629"/>
    <w:link w:val="599"/>
    <w:rPr>
      <w:rFonts w:ascii="Courier New" w:hAnsi="Courier New"/>
      <w:lang w:val="ru-RU" w:bidi="ar-SA" w:eastAsia="ru-RU"/>
    </w:rPr>
    <w:pPr>
      <w:ind w:right="19772"/>
      <w:widowControl w:val="off"/>
    </w:pPr>
  </w:style>
  <w:style w:type="paragraph" w:styleId="630">
    <w:name w:val="ConsTitle"/>
    <w:next w:val="630"/>
    <w:link w:val="599"/>
    <w:rPr>
      <w:rFonts w:ascii="Arial" w:hAnsi="Arial"/>
      <w:b/>
      <w:bCs/>
      <w:lang w:val="ru-RU" w:bidi="ar-SA" w:eastAsia="ru-RU"/>
    </w:rPr>
    <w:pPr>
      <w:ind w:right="19772"/>
      <w:widowControl w:val="off"/>
    </w:pPr>
  </w:style>
  <w:style w:type="paragraph" w:styleId="631">
    <w:name w:val="ConsCell"/>
    <w:next w:val="631"/>
    <w:link w:val="599"/>
    <w:rPr>
      <w:rFonts w:ascii="Arial" w:hAnsi="Arial"/>
      <w:lang w:val="ru-RU" w:bidi="ar-SA" w:eastAsia="ru-RU"/>
    </w:rPr>
    <w:pPr>
      <w:ind w:right="19772"/>
      <w:widowControl w:val="off"/>
    </w:pPr>
  </w:style>
  <w:style w:type="paragraph" w:styleId="632">
    <w:name w:val="ConsPlusCell"/>
    <w:next w:val="632"/>
    <w:link w:val="599"/>
    <w:rPr>
      <w:rFonts w:ascii="Arial" w:hAnsi="Arial"/>
      <w:lang w:val="ru-RU" w:bidi="ar-SA" w:eastAsia="ru-RU"/>
    </w:rPr>
    <w:pPr>
      <w:widowControl w:val="off"/>
    </w:pPr>
  </w:style>
  <w:style w:type="paragraph" w:styleId="633">
    <w:name w:val="Текст концевой сноски"/>
    <w:basedOn w:val="599"/>
    <w:next w:val="633"/>
    <w:link w:val="634"/>
    <w:rPr>
      <w:rFonts w:ascii="Times New Roman" w:hAnsi="Times New Roman" w:eastAsia="Times New Roman"/>
      <w:sz w:val="20"/>
      <w:szCs w:val="20"/>
      <w:lang w:eastAsia="ru-RU"/>
    </w:rPr>
    <w:pPr>
      <w:spacing w:lineRule="auto" w:line="240" w:after="0"/>
    </w:pPr>
  </w:style>
  <w:style w:type="character" w:styleId="634">
    <w:name w:val="Текст концевой сноски Знак"/>
    <w:basedOn w:val="602"/>
    <w:next w:val="634"/>
    <w:link w:val="633"/>
  </w:style>
  <w:style w:type="character" w:styleId="635">
    <w:name w:val="Endnote Text Char"/>
    <w:next w:val="635"/>
    <w:link w:val="599"/>
    <w:semiHidden/>
    <w:rPr>
      <w:sz w:val="20"/>
      <w:szCs w:val="20"/>
    </w:rPr>
  </w:style>
  <w:style w:type="character" w:styleId="636">
    <w:name w:val="Знак концевой сноски"/>
    <w:next w:val="636"/>
    <w:link w:val="599"/>
    <w:rPr>
      <w:vertAlign w:val="superscript"/>
    </w:rPr>
  </w:style>
  <w:style w:type="paragraph" w:styleId="637">
    <w:name w:val="Текст сноски"/>
    <w:basedOn w:val="599"/>
    <w:next w:val="637"/>
    <w:link w:val="638"/>
    <w:rPr>
      <w:rFonts w:ascii="Times New Roman" w:hAnsi="Times New Roman" w:eastAsia="Times New Roman"/>
      <w:sz w:val="20"/>
      <w:szCs w:val="20"/>
      <w:lang w:eastAsia="ru-RU"/>
    </w:rPr>
    <w:pPr>
      <w:spacing w:lineRule="auto" w:line="240" w:after="0"/>
    </w:pPr>
  </w:style>
  <w:style w:type="character" w:styleId="638">
    <w:name w:val="Текст сноски Знак"/>
    <w:basedOn w:val="602"/>
    <w:next w:val="638"/>
    <w:link w:val="637"/>
  </w:style>
  <w:style w:type="character" w:styleId="639">
    <w:name w:val="Footnote Text Char"/>
    <w:next w:val="639"/>
    <w:link w:val="599"/>
    <w:semiHidden/>
    <w:rPr>
      <w:sz w:val="20"/>
      <w:szCs w:val="20"/>
    </w:rPr>
  </w:style>
  <w:style w:type="character" w:styleId="640">
    <w:name w:val="Знак сноски"/>
    <w:next w:val="640"/>
    <w:link w:val="599"/>
    <w:rPr>
      <w:vertAlign w:val="superscript"/>
    </w:rPr>
  </w:style>
  <w:style w:type="character" w:styleId="641">
    <w:name w:val="Comment Text Char"/>
    <w:next w:val="641"/>
    <w:link w:val="599"/>
    <w:semiHidden/>
    <w:rPr>
      <w:sz w:val="20"/>
      <w:szCs w:val="20"/>
    </w:rPr>
  </w:style>
  <w:style w:type="character" w:styleId="642">
    <w:name w:val="Comment Subject Char"/>
    <w:next w:val="642"/>
    <w:link w:val="599"/>
    <w:semiHidden/>
    <w:rPr>
      <w:b/>
      <w:bCs/>
      <w:sz w:val="20"/>
      <w:szCs w:val="20"/>
    </w:rPr>
  </w:style>
  <w:style w:type="character" w:styleId="643">
    <w:name w:val="Balloon Text Char"/>
    <w:next w:val="643"/>
    <w:link w:val="599"/>
    <w:semiHidden/>
    <w:rPr>
      <w:sz w:val="0"/>
      <w:szCs w:val="0"/>
    </w:rPr>
  </w:style>
  <w:style w:type="paragraph" w:styleId="644">
    <w:name w:val="Рецензия1"/>
    <w:next w:val="644"/>
    <w:link w:val="599"/>
    <w:hidden/>
    <w:semiHidden/>
    <w:rPr>
      <w:lang w:val="ru-RU" w:bidi="ar-SA" w:eastAsia="ru-RU"/>
    </w:rPr>
  </w:style>
  <w:style w:type="paragraph" w:styleId="645">
    <w:name w:val="Рецензия"/>
    <w:next w:val="645"/>
    <w:link w:val="599"/>
    <w:hidden/>
    <w:semiHidden/>
    <w:rPr>
      <w:lang w:val="ru-RU" w:bidi="ar-SA" w:eastAsia="ru-RU"/>
    </w:rPr>
  </w:style>
  <w:style w:type="character" w:styleId="646">
    <w:name w:val="Строгий"/>
    <w:next w:val="646"/>
    <w:link w:val="599"/>
    <w:rPr>
      <w:b/>
      <w:bCs/>
    </w:rPr>
  </w:style>
  <w:style w:type="character" w:styleId="647" w:default="1">
    <w:name w:val="Default Paragraph Font"/>
    <w:uiPriority w:val="1"/>
    <w:semiHidden/>
    <w:unhideWhenUsed/>
  </w:style>
  <w:style w:type="numbering" w:styleId="648" w:default="1">
    <w:name w:val="No List"/>
    <w:uiPriority w:val="99"/>
    <w:semiHidden/>
    <w:unhideWhenUsed/>
  </w:style>
  <w:style w:type="paragraph" w:styleId="649" w:default="1">
    <w:name w:val="Normal"/>
    <w:qFormat/>
  </w:style>
  <w:style w:type="table" w:styleId="6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modified xsi:type="dcterms:W3CDTF">2024-03-21T14:26:03Z</dcterms:modified>
</cp:coreProperties>
</file>